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EC" w:rsidRPr="00633098" w:rsidRDefault="006042EC" w:rsidP="006042EC">
      <w:pPr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6042EC" w:rsidRPr="00633098" w:rsidRDefault="006042EC" w:rsidP="006042E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6042EC" w:rsidRPr="00633098" w:rsidRDefault="006042EC" w:rsidP="006042E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551BB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551BBF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6042EC" w:rsidRPr="00633098" w:rsidRDefault="006042EC" w:rsidP="006042E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6042EC" w:rsidRPr="00633098" w:rsidRDefault="006042EC" w:rsidP="006042E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042EC" w:rsidRPr="00633098" w:rsidRDefault="006042EC" w:rsidP="006042E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П.В.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Сеин</w:t>
      </w:r>
      <w:proofErr w:type="spellEnd"/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6042EC" w:rsidRPr="00633098" w:rsidRDefault="006042EC" w:rsidP="006042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042EC" w:rsidRDefault="006042EC" w:rsidP="006042E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ОКОУ «Курская школа» (вариант 2</w:t>
      </w:r>
      <w:r w:rsidRPr="0027259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042EC" w:rsidRPr="007A4B11" w:rsidRDefault="006042EC" w:rsidP="006042E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1 доп., </w:t>
      </w:r>
      <w:r w:rsidRPr="00272593">
        <w:rPr>
          <w:rFonts w:ascii="Times New Roman" w:hAnsi="Times New Roman" w:cs="Times New Roman"/>
          <w:b/>
          <w:sz w:val="24"/>
          <w:szCs w:val="24"/>
        </w:rPr>
        <w:t>I -IV классов</w:t>
      </w:r>
    </w:p>
    <w:p w:rsidR="006042EC" w:rsidRPr="00633098" w:rsidRDefault="006042EC" w:rsidP="006042EC">
      <w:pPr>
        <w:pStyle w:val="a7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6042EC" w:rsidRPr="00633098" w:rsidRDefault="006042EC" w:rsidP="006042EC">
      <w:pPr>
        <w:pStyle w:val="a7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6042EC" w:rsidRDefault="006042EC" w:rsidP="006042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551BBF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551BB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1737D0" w:rsidRPr="001518A2" w:rsidRDefault="001737D0" w:rsidP="001737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40"/>
        <w:gridCol w:w="859"/>
        <w:gridCol w:w="818"/>
        <w:gridCol w:w="744"/>
        <w:gridCol w:w="709"/>
        <w:gridCol w:w="850"/>
        <w:gridCol w:w="849"/>
      </w:tblGrid>
      <w:tr w:rsidR="001737D0" w:rsidRPr="002B4359" w:rsidTr="0066514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08DDC" wp14:editId="72AF256F">
                      <wp:simplePos x="0" y="0"/>
                      <wp:positionH relativeFrom="column">
                        <wp:posOffset>1423886</wp:posOffset>
                      </wp:positionH>
                      <wp:positionV relativeFrom="paragraph">
                        <wp:posOffset>-1558</wp:posOffset>
                      </wp:positionV>
                      <wp:extent cx="1639019" cy="715993"/>
                      <wp:effectExtent l="0" t="0" r="18415" b="273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019" cy="7159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-.1pt" to="241.1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QI6QEAAOoDAAAOAAAAZHJzL2Uyb0RvYy54bWysU0uO1DAQ3SNxB8t7OsmMGOio07OYEWwQ&#10;tPgcwOPYHUv+yTad9A5YI/URuAILkEYa4AzJjSg76QwCJARi49iueq/qPVdW552SaMecF0ZXuFjk&#10;GDFNTS30tsKvXj669xAjH4iuiTSaVXjPPD5f372zam3JTkxjZM0cAhLty9ZWuAnBllnmacMU8Qtj&#10;mYYgN06RAEe3zWpHWmBXMjvJ87OsNa62zlDmPdxejkG8TvycMxqece5ZQLLC0FtIq0vrVVyz9YqU&#10;W0dsI+jUBvmHLhQRGorOVJckEPTaiV+olKDOeMPDghqVGc4FZUkDqCnyn9S8aIhlSQuY4+1sk/9/&#10;tPTpbuOQqOHtMNJEwRP1H4Y3w6H/0n8cDmh423/rP/ef+uv+a389vIP9zfAe9jHY30zXB1REJ1vr&#10;SyC80Bs3nbzduGhLx52KXxCMuuT+fnafdQFRuCzOTpd5scSIQuxBcX+5PI2k2S3aOh8eM6NQ3FRY&#10;Ch3dISXZPfFhTD2mAC52M9ZPu7CXLCZL/ZxxUBwrJnSaNXYhHdoRmBJCKdMh6YHSKTvCuJByBuZ/&#10;Bk75EcrSHP4NeEakykaHGayENu531UN3bJmP+UcHRt3RgitT79PLJGtgoJK50/DHif3xnOC3v+j6&#10;OwAAAP//AwBQSwMEFAAGAAgAAAAhADIhWb3hAAAACQEAAA8AAABkcnMvZG93bnJldi54bWxMj0Fq&#10;wzAQRfeF3kFMIJuSyFGcYFzLoS2ELNpQGvcAijW1TSzJWLLj9PSdrtrVMPzHnzfZbjItG7H3jbMS&#10;VssIGNrS6cZWEj6L/SIB5oOyWrXOooQbetjl93eZSrW72g8cT6FiVGJ9qiTUIXQp576s0Si/dB1a&#10;yr5cb1Sgta+47tWVyk3LRRRtuVGNpQu16vClxvJyGoyEw/4ZXze3oYr15lA8jMXb8fs9kXI+m54e&#10;gQWcwh8Mv/qkDjk5nd1gtWetBCFiQaiEBQ3K40SsgZ0JXIkt8Dzj/z/IfwAAAP//AwBQSwECLQAU&#10;AAYACAAAACEAtoM4kv4AAADhAQAAEwAAAAAAAAAAAAAAAAAAAAAAW0NvbnRlbnRfVHlwZXNdLnht&#10;bFBLAQItABQABgAIAAAAIQA4/SH/1gAAAJQBAAALAAAAAAAAAAAAAAAAAC8BAABfcmVscy8ucmVs&#10;c1BLAQItABQABgAIAAAAIQCMh4QI6QEAAOoDAAAOAAAAAAAAAAAAAAAAAC4CAABkcnMvZTJvRG9j&#10;LnhtbFBLAQItABQABgAIAAAAIQAyIVm94QAAAAkBAAAPAAAAAAAAAAAAAAAAAEMEAABkcnMvZG93&#10;bnJldi54bWxQSwUGAAAAAAQABADzAAAAUQUAAAAA&#10;" strokecolor="#4579b8 [3044]"/>
                  </w:pict>
                </mc:Fallback>
              </mc:AlternateContent>
            </w: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37D0" w:rsidRPr="002B4359" w:rsidRDefault="001737D0" w:rsidP="0066514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737D0" w:rsidRPr="002B4359" w:rsidTr="0066514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D0" w:rsidRPr="002B4359" w:rsidRDefault="001737D0" w:rsidP="0066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7D0" w:rsidRPr="002B4359" w:rsidTr="00665148">
        <w:tc>
          <w:tcPr>
            <w:tcW w:w="97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1737D0" w:rsidRPr="002B4359" w:rsidTr="006651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37D0" w:rsidRPr="002B4359" w:rsidTr="006651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7D0" w:rsidRPr="002B4359" w:rsidTr="0066514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7D0" w:rsidRPr="002B4359" w:rsidTr="0066514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37D0" w:rsidRPr="002B4359" w:rsidTr="006651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6. Труд (Технология)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7D0" w:rsidRPr="002B4359" w:rsidTr="0066514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Коррекционные курсы: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37D0" w:rsidRPr="002B4359" w:rsidTr="00665148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(по направлениям)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D0" w:rsidRPr="002B4359" w:rsidRDefault="001737D0" w:rsidP="006651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042EC" w:rsidRPr="001518A2" w:rsidRDefault="006042EC" w:rsidP="006042EC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18A2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6042EC" w:rsidRDefault="006042EC" w:rsidP="006042EC"/>
    <w:p w:rsidR="006042EC" w:rsidRDefault="006042EC" w:rsidP="006042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1518A2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518A2">
        <w:rPr>
          <w:rFonts w:ascii="Times New Roman" w:hAnsi="Times New Roman" w:cs="Times New Roman"/>
          <w:sz w:val="24"/>
          <w:szCs w:val="24"/>
        </w:rPr>
        <w:t xml:space="preserve">чебный план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518A2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I -IV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18A2">
        <w:rPr>
          <w:rFonts w:ascii="Times New Roman" w:hAnsi="Times New Roman" w:cs="Times New Roman"/>
          <w:sz w:val="24"/>
          <w:szCs w:val="24"/>
        </w:rPr>
        <w:t>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не более от 3039 до 3732 академических часов на I этапе обучения (I-IV или I дополнительный, I-IV класс), 5066 академических часов на II этапе обучения (V - IX класс) и 3060 часов на III этапе (10-12 класс).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8A2">
        <w:rPr>
          <w:rFonts w:ascii="Times New Roman" w:hAnsi="Times New Roman" w:cs="Times New Roman"/>
          <w:sz w:val="24"/>
          <w:szCs w:val="24"/>
        </w:rP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представленными ниже учебными планами.</w:t>
      </w:r>
      <w:proofErr w:type="gramEnd"/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8A2">
        <w:rPr>
          <w:rFonts w:ascii="Times New Roman" w:hAnsi="Times New Roman" w:cs="Times New Roman"/>
          <w:sz w:val="24"/>
          <w:szCs w:val="24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Общий объём нагрузки, включенной в ИУП, не может превышать объем, предусмотренный учебным планом АООП.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 При организации образования на основе СИПР индивидуальная недельная нагрузка обучающегося может варьироваться. Так, с учетом федерального учебного плана организация, </w:t>
      </w:r>
      <w:r w:rsidRPr="001518A2">
        <w:rPr>
          <w:rFonts w:ascii="Times New Roman" w:hAnsi="Times New Roman" w:cs="Times New Roman"/>
          <w:sz w:val="24"/>
          <w:szCs w:val="24"/>
        </w:rPr>
        <w:lastRenderedPageBreak/>
        <w:t xml:space="preserve">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обучающихся с наиболее тяжелыми нарушениями развития, как правило, преобладают занятия коррекционной направленности. У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с менее выраженными нарушениями развития больший объём учебной нагрузки распределится на предметные области. Для обучающихся, особые образовательные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потребности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организуется в форме урока.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считается: один ученик (индивидуальная работа), группа (2 - 3 обучающихся), класс (все обучающиеся класса).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18A2">
        <w:rPr>
          <w:rFonts w:ascii="Times New Roman" w:hAnsi="Times New Roman" w:cs="Times New Roman"/>
          <w:sz w:val="24"/>
          <w:szCs w:val="24"/>
        </w:rPr>
        <w:t>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Курсы коррекционно-развивающей области реализуются в рамках внеурочной деятельности.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Общий объем внеурочной деятельности составляет 10 часов в неделю (не более 1690 часов на I этапе обучения (1-4 и дополнительный класс), 1700 часов на II этапе обучения (5-9 класс) и 1020 часов на III этапе (10-12 класс) Из 10 часов внеурочной деятельности в неделю</w:t>
      </w:r>
      <w:r>
        <w:rPr>
          <w:rFonts w:ascii="Times New Roman" w:hAnsi="Times New Roman" w:cs="Times New Roman"/>
          <w:sz w:val="24"/>
          <w:szCs w:val="24"/>
        </w:rPr>
        <w:t xml:space="preserve"> в 1-4 классах </w:t>
      </w:r>
      <w:r w:rsidRPr="001518A2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518A2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, в 5-9 классах 4 часа, в 10-12 классах 8 часов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8A2">
        <w:rPr>
          <w:rFonts w:ascii="Times New Roman" w:hAnsi="Times New Roman" w:cs="Times New Roman"/>
          <w:sz w:val="24"/>
          <w:szCs w:val="24"/>
        </w:rPr>
        <w:t xml:space="preserve"> на реализацию коррекционно-развивающей области.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lastRenderedPageBreak/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6042EC" w:rsidRPr="001518A2" w:rsidRDefault="006042EC" w:rsidP="006042EC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6042EC" w:rsidRDefault="006042EC" w:rsidP="006042EC">
      <w:pPr>
        <w:rPr>
          <w:rFonts w:ascii="Times New Roman" w:hAnsi="Times New Roman" w:cs="Times New Roman"/>
          <w:sz w:val="24"/>
          <w:szCs w:val="24"/>
        </w:rPr>
      </w:pPr>
    </w:p>
    <w:sectPr w:rsidR="006042EC" w:rsidSect="006042EC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31"/>
    <w:rsid w:val="001737D0"/>
    <w:rsid w:val="002C3A5F"/>
    <w:rsid w:val="00347A8B"/>
    <w:rsid w:val="00551BBF"/>
    <w:rsid w:val="006042EC"/>
    <w:rsid w:val="00812031"/>
    <w:rsid w:val="00A914FE"/>
    <w:rsid w:val="00B46591"/>
    <w:rsid w:val="00F473DC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42EC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6042EC"/>
    <w:pPr>
      <w:jc w:val="center"/>
    </w:pPr>
  </w:style>
  <w:style w:type="paragraph" w:styleId="a5">
    <w:name w:val="No Spacing"/>
    <w:link w:val="a6"/>
    <w:uiPriority w:val="1"/>
    <w:qFormat/>
    <w:rsid w:val="006042E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042EC"/>
    <w:rPr>
      <w:rFonts w:ascii="Calibri" w:eastAsia="Times New Roman" w:hAnsi="Calibri" w:cs="Times New Roman"/>
      <w:lang w:eastAsia="ar-SA"/>
    </w:rPr>
  </w:style>
  <w:style w:type="paragraph" w:styleId="a7">
    <w:name w:val="Body Text"/>
    <w:basedOn w:val="a"/>
    <w:link w:val="a8"/>
    <w:rsid w:val="006042E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8">
    <w:name w:val="Основной текст Знак"/>
    <w:basedOn w:val="a0"/>
    <w:link w:val="a7"/>
    <w:rsid w:val="006042EC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42EC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6042EC"/>
    <w:pPr>
      <w:jc w:val="center"/>
    </w:pPr>
  </w:style>
  <w:style w:type="paragraph" w:styleId="a5">
    <w:name w:val="No Spacing"/>
    <w:link w:val="a6"/>
    <w:uiPriority w:val="1"/>
    <w:qFormat/>
    <w:rsid w:val="006042E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042EC"/>
    <w:rPr>
      <w:rFonts w:ascii="Calibri" w:eastAsia="Times New Roman" w:hAnsi="Calibri" w:cs="Times New Roman"/>
      <w:lang w:eastAsia="ar-SA"/>
    </w:rPr>
  </w:style>
  <w:style w:type="paragraph" w:styleId="a7">
    <w:name w:val="Body Text"/>
    <w:basedOn w:val="a"/>
    <w:link w:val="a8"/>
    <w:rsid w:val="006042E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8">
    <w:name w:val="Основной текст Знак"/>
    <w:basedOn w:val="a0"/>
    <w:link w:val="a7"/>
    <w:rsid w:val="006042EC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1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2024-08-06T08:01:00Z</cp:lastPrinted>
  <dcterms:created xsi:type="dcterms:W3CDTF">2023-08-09T08:01:00Z</dcterms:created>
  <dcterms:modified xsi:type="dcterms:W3CDTF">2024-10-10T08:42:00Z</dcterms:modified>
</cp:coreProperties>
</file>